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158750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4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190500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11"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June 13,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176530</wp:posOffset>
            </wp:positionV>
            <wp:extent cx="1474470" cy="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890"/>
                    </a:xfrm>
                    <a:prstGeom prst="rect">
                      <a:avLst/>
                    </a:prstGeom>
                    <a:noFill/>
                  </pic:spPr>
                </pic:pic>
              </a:graphicData>
            </a:graphic>
          </wp:anchor>
        </w:drawing>
      </w:r>
    </w:p>
    <w:p>
      <w:pPr>
        <w:spacing w:after="0" w:line="369"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167640</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0"/>
          </w:cols>
          <w:pgMar w:left="440" w:top="443" w:right="439" w:bottom="1440" w:gutter="0" w:footer="0" w:header="0"/>
        </w:sectPr>
      </w:pPr>
    </w:p>
    <w:p>
      <w:pPr>
        <w:spacing w:after="0" w:line="200" w:lineRule="exact"/>
        <w:rPr>
          <w:sz w:val="24"/>
          <w:szCs w:val="24"/>
          <w:color w:val="auto"/>
        </w:rPr>
      </w:pPr>
    </w:p>
    <w:p>
      <w:pPr>
        <w:spacing w:after="0" w:line="244"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0" w:space="720"/>
            <w:col w:w="2780" w:space="720"/>
            <w:col w:w="2200"/>
          </w:cols>
          <w:pgMar w:left="440" w:top="443"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134" w:lineRule="exact"/>
        <w:rPr>
          <w:sz w:val="24"/>
          <w:szCs w:val="24"/>
          <w:color w:val="auto"/>
        </w:rPr>
      </w:pPr>
    </w:p>
    <w:p>
      <w:pPr>
        <w:sectPr>
          <w:pgSz w:w="11900" w:h="16838" w:orient="portrait"/>
          <w:cols w:equalWidth="0" w:num="3">
            <w:col w:w="4480" w:space="720"/>
            <w:col w:w="2760" w:space="720"/>
            <w:col w:w="2340"/>
          </w:cols>
          <w:pgMar w:left="440" w:top="443" w:right="439" w:bottom="1440" w:gutter="0" w:footer="0" w:header="0"/>
          <w:type w:val="continuous"/>
        </w:sect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09"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443"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00" w:lineRule="exact"/>
        <w:rPr>
          <w:sz w:val="24"/>
          <w:szCs w:val="24"/>
          <w:color w:val="auto"/>
        </w:rPr>
      </w:pPr>
    </w:p>
    <w:p>
      <w:pPr>
        <w:sectPr>
          <w:pgSz w:w="11900" w:h="16838" w:orient="portrait"/>
          <w:cols w:equalWidth="0" w:num="2">
            <w:col w:w="7280" w:space="720"/>
            <w:col w:w="3020"/>
          </w:cols>
          <w:pgMar w:left="440" w:top="443"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30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170815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92"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w:t>
      </w:r>
    </w:p>
    <w:p>
      <w:pPr>
        <w:spacing w:after="0" w:line="185" w:lineRule="exact"/>
        <w:rPr>
          <w:sz w:val="24"/>
          <w:szCs w:val="24"/>
          <w:color w:val="auto"/>
        </w:rPr>
      </w:pPr>
    </w:p>
    <w:p>
      <w:pPr>
        <w:spacing w:after="0"/>
        <w:rPr>
          <w:sz w:val="20"/>
          <w:szCs w:val="20"/>
          <w:color w:val="auto"/>
        </w:rPr>
      </w:pPr>
      <w:r>
        <w:rPr>
          <w:rFonts w:ascii="Times New Roman" w:cs="Times New Roman" w:eastAsia="Times New Roman" w:hAnsi="Times New Roman"/>
          <w:sz w:val="18"/>
          <w:szCs w:val="18"/>
          <w:color w:val="auto"/>
        </w:rPr>
        <w:t>Securities registered pursuant to Section 12(b) of the Act:</w:t>
      </w:r>
    </w:p>
    <w:p>
      <w:pPr>
        <w:spacing w:after="0" w:line="206" w:lineRule="exact"/>
        <w:rPr>
          <w:sz w:val="24"/>
          <w:szCs w:val="24"/>
          <w:color w:val="auto"/>
        </w:rPr>
      </w:pPr>
    </w:p>
    <w:tbl>
      <w:tblPr>
        <w:tblLayout w:type="fixed"/>
        <w:tblInd w:w="0" w:type="dxa"/>
        <w:tblCellMar>
          <w:top w:w="0" w:type="dxa"/>
          <w:left w:w="0" w:type="dxa"/>
          <w:bottom w:w="0" w:type="dxa"/>
          <w:right w:w="0" w:type="dxa"/>
        </w:tblCellMar>
      </w:tblPr>
      <w:tr>
        <w:trPr>
          <w:trHeight w:val="161"/>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52"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80"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25"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137160</wp:posOffset>
            </wp:positionV>
            <wp:extent cx="6995160" cy="889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890"/>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179705</wp:posOffset>
            </wp:positionV>
            <wp:extent cx="6995160" cy="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890"/>
                    </a:xfrm>
                    <a:prstGeom prst="rect">
                      <a:avLst/>
                    </a:prstGeom>
                    <a:noFill/>
                  </pic:spPr>
                </pic:pic>
              </a:graphicData>
            </a:graphic>
          </wp:anchor>
        </w:drawing>
      </w:r>
    </w:p>
    <w:p>
      <w:pPr>
        <w:sectPr>
          <w:pgSz w:w="11900" w:h="16838" w:orient="portrait"/>
          <w:cols w:equalWidth="0" w:num="1">
            <w:col w:w="11020"/>
          </w:cols>
          <w:pgMar w:left="440" w:top="443"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Convertible Notes Offering</w:t>
      </w:r>
    </w:p>
    <w:p>
      <w:pPr>
        <w:spacing w:after="0" w:line="119" w:lineRule="exact"/>
        <w:rPr>
          <w:sz w:val="20"/>
          <w:szCs w:val="20"/>
          <w:color w:val="auto"/>
        </w:rPr>
      </w:pPr>
    </w:p>
    <w:p>
      <w:pPr>
        <w:ind w:right="160" w:firstLine="440"/>
        <w:spacing w:after="0" w:line="256" w:lineRule="auto"/>
        <w:rPr>
          <w:sz w:val="20"/>
          <w:szCs w:val="20"/>
          <w:color w:val="auto"/>
        </w:rPr>
      </w:pPr>
      <w:r>
        <w:rPr>
          <w:rFonts w:ascii="Times New Roman" w:cs="Times New Roman" w:eastAsia="Times New Roman" w:hAnsi="Times New Roman"/>
          <w:sz w:val="18"/>
          <w:szCs w:val="18"/>
          <w:color w:val="auto"/>
        </w:rPr>
        <w:t>On June 13, 2024, MicroStrategy Incorporated (the “Company”) issued a press release announcing its intention to offer, subject to market conditions and other factors, $500 million aggregate principal amount of convertible senior notes due 2032 in a private offering to persons reasonably believed to be qualified institutional buyers in reliance on Rule 144A under the Securities Act of 1933, as amended (the “Securities Act”), and to grant to the initial purchasers of the notes an option to purchase, within a 13-day period beginning on, and including, the date on which the notes are first issued, up to an additional $75 million aggregate principal amount of the notes. A copy of the press release announcing the offering is filed as Exhibit 99.1 to this Current Report on Form 8-K and is incorporated herein by reference.</w:t>
      </w:r>
    </w:p>
    <w:p>
      <w:pPr>
        <w:spacing w:after="0" w:line="187" w:lineRule="exact"/>
        <w:rPr>
          <w:sz w:val="20"/>
          <w:szCs w:val="20"/>
          <w:color w:val="auto"/>
        </w:rPr>
      </w:pPr>
    </w:p>
    <w:p>
      <w:pPr>
        <w:jc w:val="both"/>
        <w:ind w:right="60" w:firstLine="440"/>
        <w:spacing w:after="0" w:line="258" w:lineRule="auto"/>
        <w:rPr>
          <w:sz w:val="20"/>
          <w:szCs w:val="20"/>
          <w:color w:val="auto"/>
        </w:rPr>
      </w:pPr>
      <w:r>
        <w:rPr>
          <w:rFonts w:ascii="Times New Roman" w:cs="Times New Roman" w:eastAsia="Times New Roman" w:hAnsi="Times New Roman"/>
          <w:sz w:val="18"/>
          <w:szCs w:val="18"/>
          <w:color w:val="auto"/>
        </w:rPr>
        <w:t>On June 14, 2024, the Company issued a press release announcing that it has priced a private offering of $700 million aggregate principal amount of its convertible senior notes due 2032. The notes will only be sold to persons reasonably believed to be qualified institutional buyers pursuant to Rule 144A under the Securities Act. The Company also granted to the initial purchasers of the notes an option to purchase, within a 13-day period beginning on, and including, the date on which the notes are first issued, up to an additional $100 million aggregate principal amount of the notes. The offering is expected to close on June 17, 2024, subject to satisfaction of customary closing conditions.</w:t>
      </w:r>
    </w:p>
    <w:p>
      <w:pPr>
        <w:spacing w:after="0" w:line="183" w:lineRule="exact"/>
        <w:rPr>
          <w:sz w:val="20"/>
          <w:szCs w:val="20"/>
          <w:color w:val="auto"/>
        </w:rPr>
      </w:pPr>
    </w:p>
    <w:p>
      <w:pPr>
        <w:ind w:right="40" w:firstLine="440"/>
        <w:spacing w:after="0" w:line="261" w:lineRule="auto"/>
        <w:rPr>
          <w:sz w:val="20"/>
          <w:szCs w:val="20"/>
          <w:color w:val="auto"/>
        </w:rPr>
      </w:pPr>
      <w:r>
        <w:rPr>
          <w:rFonts w:ascii="Times New Roman" w:cs="Times New Roman" w:eastAsia="Times New Roman" w:hAnsi="Times New Roman"/>
          <w:sz w:val="18"/>
          <w:szCs w:val="18"/>
          <w:color w:val="auto"/>
        </w:rPr>
        <w:t>The Company estimates that the net proceeds of the offering will be approximately $687.8 million (or approximately $786.0 million if the initial purchasers exercise in full their option to purchase additional notes), after deducting the initial purchasers’ discounts and commissions and estimated offering expenses payable by the Company. The Company intends to use the net proceeds from the sale of the notes to acquire additional bitcoin and for general corporate purposes.</w:t>
      </w:r>
    </w:p>
    <w:p>
      <w:pPr>
        <w:spacing w:after="0" w:line="180" w:lineRule="exact"/>
        <w:rPr>
          <w:sz w:val="20"/>
          <w:szCs w:val="20"/>
          <w:color w:val="auto"/>
        </w:rPr>
      </w:pPr>
    </w:p>
    <w:p>
      <w:pPr>
        <w:ind w:right="140" w:firstLine="440"/>
        <w:spacing w:after="0" w:line="282" w:lineRule="auto"/>
        <w:rPr>
          <w:sz w:val="20"/>
          <w:szCs w:val="20"/>
          <w:color w:val="auto"/>
        </w:rPr>
      </w:pPr>
      <w:r>
        <w:rPr>
          <w:rFonts w:ascii="Times New Roman" w:cs="Times New Roman" w:eastAsia="Times New Roman" w:hAnsi="Times New Roman"/>
          <w:sz w:val="18"/>
          <w:szCs w:val="18"/>
          <w:color w:val="auto"/>
        </w:rPr>
        <w:t>A copy of the press release announcing the pricing of the offering is filed as Exhibit 99.2 to this Current Report on Form 8-K and is incorporated herein by reference.</w:t>
      </w:r>
    </w:p>
    <w:p>
      <w:pPr>
        <w:spacing w:after="0" w:line="26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2025 Notes Redemption</w:t>
      </w:r>
    </w:p>
    <w:p>
      <w:pPr>
        <w:spacing w:after="0" w:line="119" w:lineRule="exact"/>
        <w:rPr>
          <w:sz w:val="20"/>
          <w:szCs w:val="20"/>
          <w:color w:val="auto"/>
        </w:rPr>
      </w:pPr>
    </w:p>
    <w:p>
      <w:pPr>
        <w:ind w:right="100" w:firstLine="991"/>
        <w:spacing w:after="0" w:line="256" w:lineRule="auto"/>
        <w:rPr>
          <w:sz w:val="20"/>
          <w:szCs w:val="20"/>
          <w:color w:val="auto"/>
        </w:rPr>
      </w:pPr>
      <w:r>
        <w:rPr>
          <w:rFonts w:ascii="Times New Roman" w:cs="Times New Roman" w:eastAsia="Times New Roman" w:hAnsi="Times New Roman"/>
          <w:sz w:val="18"/>
          <w:szCs w:val="18"/>
          <w:color w:val="auto"/>
        </w:rPr>
        <w:t>On June 13, 2024, the Company announced that it delivered a notice of full redemption (the “Notice”) to the trustee of the Company’s outstanding 0.750% Convertible Senior Notes due 2025 (the “2025 Notes”). The aggregate principal amount of the 2025 Notes being redeemed is $650.0 million, which is equal to the current aggregate principal amount of 2025 Notes outstanding and held by investors. The Notice calls for the redemption of all of the outstanding 2025 Notes (the “Redemption”) on July 15, 2024 (the “Redemption Date”), at a redemption price equal to 100% of the principal amount of the 2025 Notes to be redeemed, plus accrued and unpaid interest, if any, to but excluding the Redemption Date, unless earlier converted.</w:t>
      </w:r>
    </w:p>
    <w:p>
      <w:pPr>
        <w:spacing w:after="0" w:line="187" w:lineRule="exact"/>
        <w:rPr>
          <w:sz w:val="20"/>
          <w:szCs w:val="20"/>
          <w:color w:val="auto"/>
        </w:rPr>
      </w:pPr>
    </w:p>
    <w:p>
      <w:pPr>
        <w:ind w:right="200" w:firstLine="991"/>
        <w:spacing w:after="0" w:line="266" w:lineRule="auto"/>
        <w:rPr>
          <w:sz w:val="20"/>
          <w:szCs w:val="20"/>
          <w:color w:val="auto"/>
        </w:rPr>
      </w:pPr>
      <w:r>
        <w:rPr>
          <w:rFonts w:ascii="Times New Roman" w:cs="Times New Roman" w:eastAsia="Times New Roman" w:hAnsi="Times New Roman"/>
          <w:sz w:val="18"/>
          <w:szCs w:val="18"/>
          <w:color w:val="auto"/>
        </w:rPr>
        <w:t>As a result of the delivery of the Notice, at any time prior to 5:00 p.m., New York City time, on July 11, 2024, the 2025 Notes are convertible, at the option of the holders of the 2025 Notes, at the applicable conversion rate of 2.5126 shares of the Company’s class A common stock per $1,000 principal amount (reflecting a conversion price of $397.99 per share).</w:t>
      </w:r>
    </w:p>
    <w:p>
      <w:pPr>
        <w:spacing w:after="0" w:line="176" w:lineRule="exact"/>
        <w:rPr>
          <w:sz w:val="20"/>
          <w:szCs w:val="20"/>
          <w:color w:val="auto"/>
        </w:rPr>
      </w:pPr>
    </w:p>
    <w:p>
      <w:pPr>
        <w:ind w:firstLine="991"/>
        <w:spacing w:after="0" w:line="266" w:lineRule="auto"/>
        <w:rPr>
          <w:sz w:val="20"/>
          <w:szCs w:val="20"/>
          <w:color w:val="auto"/>
        </w:rPr>
      </w:pPr>
      <w:r>
        <w:rPr>
          <w:rFonts w:ascii="Times New Roman" w:cs="Times New Roman" w:eastAsia="Times New Roman" w:hAnsi="Times New Roman"/>
          <w:sz w:val="18"/>
          <w:szCs w:val="18"/>
          <w:color w:val="auto"/>
        </w:rPr>
        <w:t>In the event that any holder delivers a conversion notice as provided in the indenture related to the 2025 Notes, the Company has elected to satisfy its conversion obligation with respect to each $1,000 principal amount of 2025 Notes by delivering solely shares of its class A common stock, together with cash in lieu of any fractional shares.</w:t>
      </w:r>
    </w:p>
    <w:p>
      <w:pPr>
        <w:spacing w:after="0" w:line="176" w:lineRule="exact"/>
        <w:rPr>
          <w:sz w:val="20"/>
          <w:szCs w:val="20"/>
          <w:color w:val="auto"/>
        </w:rPr>
      </w:pPr>
    </w:p>
    <w:p>
      <w:pPr>
        <w:ind w:right="340" w:firstLine="991"/>
        <w:spacing w:after="0" w:line="266" w:lineRule="auto"/>
        <w:rPr>
          <w:sz w:val="20"/>
          <w:szCs w:val="20"/>
          <w:color w:val="auto"/>
        </w:rPr>
      </w:pPr>
      <w:r>
        <w:rPr>
          <w:rFonts w:ascii="Times New Roman" w:cs="Times New Roman" w:eastAsia="Times New Roman" w:hAnsi="Times New Roman"/>
          <w:sz w:val="18"/>
          <w:szCs w:val="18"/>
          <w:color w:val="auto"/>
        </w:rPr>
        <w:t>The information contained in Item 8.01 of this Current Report on Form 8-K relating to the Redemption and the Notice are for informational purposes only and do not constitute an offer to buy or a solicitation of an offer to sell any 2025 Notes and shall not constitute an offer, solicitation, or sale in any jurisdiction in which such offering, solicitation or sale would be unlawful.</w:t>
      </w:r>
    </w:p>
    <w:p>
      <w:pPr>
        <w:sectPr>
          <w:pgSz w:w="11900" w:h="16838" w:orient="portrait"/>
          <w:cols w:equalWidth="0" w:num="1">
            <w:col w:w="11000"/>
          </w:cols>
          <w:pgMar w:left="440" w:top="293" w:right="459" w:bottom="1440" w:gutter="0" w:footer="0" w:header="0"/>
        </w:sectPr>
      </w:pPr>
    </w:p>
    <w:bookmarkStart w:id="2" w:name="page3"/>
    <w:bookmarkEnd w:id="2"/>
    <w:p>
      <w:pPr>
        <w:ind w:left="4"/>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Cautionary Note Regarding Forward-Looking Statements</w:t>
      </w:r>
    </w:p>
    <w:p>
      <w:pPr>
        <w:spacing w:after="0" w:line="121" w:lineRule="exact"/>
        <w:rPr>
          <w:sz w:val="20"/>
          <w:szCs w:val="20"/>
          <w:color w:val="auto"/>
        </w:rPr>
      </w:pPr>
    </w:p>
    <w:p>
      <w:pPr>
        <w:ind w:left="4" w:firstLine="440"/>
        <w:spacing w:after="0" w:line="253" w:lineRule="auto"/>
        <w:rPr>
          <w:sz w:val="20"/>
          <w:szCs w:val="20"/>
          <w:color w:val="auto"/>
        </w:rPr>
      </w:pPr>
      <w:r>
        <w:rPr>
          <w:rFonts w:ascii="Times New Roman" w:cs="Times New Roman" w:eastAsia="Times New Roman" w:hAnsi="Times New Roman"/>
          <w:sz w:val="18"/>
          <w:szCs w:val="18"/>
          <w:color w:val="auto"/>
        </w:rPr>
        <w:t>Statements in this Current Report on Form 8-K and the exhibit attached hereto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estimated net proceeds of the offering, the anticipated use of such net proceeds, and the anticipated closing date.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completion of the offering on the anticipated terms or at all, the other factors discussed in the “Risk Factors” section of the Company’s Quarterly Report on Form 10-Q filed with the Securities and Exchange Commission May 1, 2024, and the risks described in other filings that the Company may make with the Securities and Exchange Commission. Any forward-looking statements contained in this Current Report on Form 8-K speak only as of the date hereof, and the Company specifically disclaims any obligation to update any forward-looking statement, whether as a result of new information, future events, or otherwise.</w:t>
      </w:r>
    </w:p>
    <w:p>
      <w:pPr>
        <w:spacing w:after="0" w:line="334" w:lineRule="exact"/>
        <w:rPr>
          <w:sz w:val="20"/>
          <w:szCs w:val="20"/>
          <w:color w:val="auto"/>
        </w:rPr>
      </w:pPr>
    </w:p>
    <w:p>
      <w:pPr>
        <w:ind w:left="4"/>
        <w:spacing w:after="0"/>
        <w:tabs>
          <w:tab w:leader="none" w:pos="1184" w:val="left"/>
        </w:tabs>
        <w:rPr>
          <w:sz w:val="20"/>
          <w:szCs w:val="20"/>
          <w:color w:val="auto"/>
        </w:rPr>
      </w:pPr>
      <w:r>
        <w:rPr>
          <w:rFonts w:ascii="Times New Roman" w:cs="Times New Roman" w:eastAsia="Times New Roman" w:hAnsi="Times New Roman"/>
          <w:sz w:val="18"/>
          <w:szCs w:val="18"/>
          <w:b w:val="1"/>
          <w:bCs w:val="1"/>
          <w:color w:val="auto"/>
        </w:rPr>
        <w:t>Item 9.01.</w:t>
      </w:r>
      <w:r>
        <w:rPr>
          <w:sz w:val="20"/>
          <w:szCs w:val="20"/>
          <w:color w:val="auto"/>
        </w:rPr>
        <w:tab/>
      </w:r>
      <w:r>
        <w:rPr>
          <w:rFonts w:ascii="Times New Roman" w:cs="Times New Roman" w:eastAsia="Times New Roman" w:hAnsi="Times New Roman"/>
          <w:sz w:val="18"/>
          <w:szCs w:val="18"/>
          <w:b w:val="1"/>
          <w:bCs w:val="1"/>
          <w:color w:val="auto"/>
        </w:rPr>
        <w:t>Financial Statements and Exhibits.</w:t>
      </w:r>
    </w:p>
    <w:p>
      <w:pPr>
        <w:spacing w:after="0" w:line="135" w:lineRule="exact"/>
        <w:rPr>
          <w:sz w:val="20"/>
          <w:szCs w:val="20"/>
          <w:color w:val="auto"/>
        </w:rPr>
      </w:pPr>
    </w:p>
    <w:p>
      <w:pPr>
        <w:ind w:left="424" w:hanging="424"/>
        <w:spacing w:after="0"/>
        <w:tabs>
          <w:tab w:leader="none" w:pos="424"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Exhibits</w:t>
      </w:r>
    </w:p>
    <w:p>
      <w:pPr>
        <w:spacing w:after="0" w:line="233" w:lineRule="exact"/>
        <w:rPr>
          <w:sz w:val="20"/>
          <w:szCs w:val="20"/>
          <w:color w:val="auto"/>
        </w:rPr>
      </w:pPr>
    </w:p>
    <w:tbl>
      <w:tblPr>
        <w:tblLayout w:type="fixed"/>
        <w:tblInd w:w="4" w:type="dxa"/>
        <w:tblCellMar>
          <w:top w:w="0" w:type="dxa"/>
          <w:left w:w="0" w:type="dxa"/>
          <w:bottom w:w="0" w:type="dxa"/>
          <w:right w:w="0" w:type="dxa"/>
        </w:tblCellMar>
      </w:tblPr>
      <w:tr>
        <w:trPr>
          <w:trHeight w:val="161"/>
        </w:trPr>
        <w:tc>
          <w:tcPr>
            <w:tcW w:w="1040" w:type="dxa"/>
            <w:vAlign w:val="bottom"/>
            <w:gridSpan w:val="2"/>
          </w:tcPr>
          <w:p>
            <w:pPr>
              <w:ind w:left="20"/>
              <w:spacing w:after="0"/>
              <w:rPr>
                <w:sz w:val="20"/>
                <w:szCs w:val="20"/>
                <w:color w:val="auto"/>
              </w:rPr>
            </w:pPr>
            <w:r>
              <w:rPr>
                <w:rFonts w:ascii="Times New Roman" w:cs="Times New Roman" w:eastAsia="Times New Roman" w:hAnsi="Times New Roman"/>
                <w:sz w:val="14"/>
                <w:szCs w:val="14"/>
                <w:b w:val="1"/>
                <w:bCs w:val="1"/>
                <w:color w:val="auto"/>
              </w:rPr>
              <w:t>Exhibit</w:t>
            </w:r>
          </w:p>
        </w:tc>
        <w:tc>
          <w:tcPr>
            <w:tcW w:w="720" w:type="dxa"/>
            <w:vAlign w:val="bottom"/>
          </w:tcPr>
          <w:p>
            <w:pPr>
              <w:spacing w:after="0"/>
              <w:rPr>
                <w:sz w:val="13"/>
                <w:szCs w:val="13"/>
                <w:color w:val="auto"/>
              </w:rPr>
            </w:pPr>
          </w:p>
        </w:tc>
        <w:tc>
          <w:tcPr>
            <w:tcW w:w="3640" w:type="dxa"/>
            <w:vAlign w:val="bottom"/>
          </w:tcPr>
          <w:p>
            <w:pPr>
              <w:spacing w:after="0"/>
              <w:rPr>
                <w:sz w:val="13"/>
                <w:szCs w:val="13"/>
                <w:color w:val="auto"/>
              </w:rPr>
            </w:pPr>
          </w:p>
        </w:tc>
        <w:tc>
          <w:tcPr>
            <w:tcW w:w="1020" w:type="dxa"/>
            <w:vAlign w:val="bottom"/>
          </w:tcPr>
          <w:p>
            <w:pPr>
              <w:spacing w:after="0"/>
              <w:rPr>
                <w:sz w:val="13"/>
                <w:szCs w:val="13"/>
                <w:color w:val="auto"/>
              </w:rPr>
            </w:pPr>
          </w:p>
        </w:tc>
        <w:tc>
          <w:tcPr>
            <w:tcW w:w="400" w:type="dxa"/>
            <w:vAlign w:val="bottom"/>
          </w:tcPr>
          <w:p>
            <w:pPr>
              <w:spacing w:after="0"/>
              <w:rPr>
                <w:sz w:val="13"/>
                <w:szCs w:val="13"/>
                <w:color w:val="auto"/>
              </w:rPr>
            </w:pPr>
          </w:p>
        </w:tc>
      </w:tr>
      <w:tr>
        <w:trPr>
          <w:trHeight w:val="173"/>
        </w:trPr>
        <w:tc>
          <w:tcPr>
            <w:tcW w:w="1040" w:type="dxa"/>
            <w:vAlign w:val="bottom"/>
            <w:gridSpan w:val="2"/>
          </w:tcPr>
          <w:p>
            <w:pPr>
              <w:spacing w:after="0" w:line="153" w:lineRule="exact"/>
              <w:rPr>
                <w:sz w:val="20"/>
                <w:szCs w:val="20"/>
                <w:color w:val="auto"/>
              </w:rPr>
            </w:pPr>
            <w:r>
              <w:rPr>
                <w:rFonts w:ascii="Times New Roman" w:cs="Times New Roman" w:eastAsia="Times New Roman" w:hAnsi="Times New Roman"/>
                <w:sz w:val="14"/>
                <w:szCs w:val="14"/>
                <w:b w:val="1"/>
                <w:bCs w:val="1"/>
                <w:color w:val="auto"/>
              </w:rPr>
              <w:t>   No. </w:t>
            </w:r>
          </w:p>
        </w:tc>
        <w:tc>
          <w:tcPr>
            <w:tcW w:w="5780" w:type="dxa"/>
            <w:vAlign w:val="bottom"/>
            <w:gridSpan w:val="4"/>
          </w:tcPr>
          <w:p>
            <w:pPr>
              <w:spacing w:after="0" w:line="153" w:lineRule="exact"/>
              <w:rPr>
                <w:sz w:val="20"/>
                <w:szCs w:val="20"/>
                <w:color w:val="auto"/>
              </w:rPr>
            </w:pPr>
            <w:r>
              <w:rPr>
                <w:rFonts w:ascii="Times New Roman" w:cs="Times New Roman" w:eastAsia="Times New Roman" w:hAnsi="Times New Roman"/>
                <w:sz w:val="14"/>
                <w:szCs w:val="14"/>
                <w:b w:val="1"/>
                <w:bCs w:val="1"/>
                <w:color w:val="auto"/>
              </w:rPr>
              <w:t>Description</w:t>
            </w:r>
          </w:p>
        </w:tc>
      </w:tr>
      <w:tr>
        <w:trPr>
          <w:trHeight w:val="20"/>
        </w:trPr>
        <w:tc>
          <w:tcPr>
            <w:tcW w:w="500" w:type="dxa"/>
            <w:vAlign w:val="bottom"/>
            <w:tcBorders>
              <w:top w:val="single" w:sz="8" w:color="auto"/>
            </w:tcBorders>
          </w:tcPr>
          <w:p>
            <w:pPr>
              <w:spacing w:after="0" w:line="20" w:lineRule="exact"/>
              <w:rPr>
                <w:sz w:val="1"/>
                <w:szCs w:val="1"/>
                <w:color w:val="auto"/>
              </w:rPr>
            </w:pPr>
          </w:p>
        </w:tc>
        <w:tc>
          <w:tcPr>
            <w:tcW w:w="540" w:type="dxa"/>
            <w:vAlign w:val="bottom"/>
          </w:tcPr>
          <w:p>
            <w:pPr>
              <w:spacing w:after="0" w:line="20" w:lineRule="exact"/>
              <w:rPr>
                <w:sz w:val="1"/>
                <w:szCs w:val="1"/>
                <w:color w:val="auto"/>
              </w:rPr>
            </w:pPr>
          </w:p>
        </w:tc>
        <w:tc>
          <w:tcPr>
            <w:tcW w:w="720" w:type="dxa"/>
            <w:vAlign w:val="bottom"/>
            <w:tcBorders>
              <w:bottom w:val="single" w:sz="8" w:color="auto"/>
            </w:tcBorders>
          </w:tcPr>
          <w:p>
            <w:pPr>
              <w:spacing w:after="0" w:line="20" w:lineRule="exact"/>
              <w:rPr>
                <w:sz w:val="1"/>
                <w:szCs w:val="1"/>
                <w:color w:val="auto"/>
              </w:rPr>
            </w:pPr>
          </w:p>
        </w:tc>
        <w:tc>
          <w:tcPr>
            <w:tcW w:w="3640" w:type="dxa"/>
            <w:vAlign w:val="bottom"/>
          </w:tcPr>
          <w:p>
            <w:pPr>
              <w:spacing w:after="0" w:line="20" w:lineRule="exact"/>
              <w:rPr>
                <w:sz w:val="1"/>
                <w:szCs w:val="1"/>
                <w:color w:val="auto"/>
              </w:rPr>
            </w:pPr>
          </w:p>
        </w:tc>
        <w:tc>
          <w:tcPr>
            <w:tcW w:w="1020" w:type="dxa"/>
            <w:vAlign w:val="bottom"/>
          </w:tcPr>
          <w:p>
            <w:pPr>
              <w:spacing w:after="0" w:line="20" w:lineRule="exact"/>
              <w:rPr>
                <w:sz w:val="1"/>
                <w:szCs w:val="1"/>
                <w:color w:val="auto"/>
              </w:rPr>
            </w:pPr>
          </w:p>
        </w:tc>
        <w:tc>
          <w:tcPr>
            <w:tcW w:w="400" w:type="dxa"/>
            <w:vAlign w:val="bottom"/>
          </w:tcPr>
          <w:p>
            <w:pPr>
              <w:spacing w:after="0" w:line="20" w:lineRule="exact"/>
              <w:rPr>
                <w:sz w:val="1"/>
                <w:szCs w:val="1"/>
                <w:color w:val="auto"/>
              </w:rPr>
            </w:pPr>
          </w:p>
        </w:tc>
      </w:tr>
      <w:tr>
        <w:trPr>
          <w:trHeight w:val="264"/>
        </w:trPr>
        <w:tc>
          <w:tcPr>
            <w:tcW w:w="500" w:type="dxa"/>
            <w:vAlign w:val="bottom"/>
          </w:tcPr>
          <w:p>
            <w:pPr>
              <w:spacing w:after="0"/>
              <w:rPr>
                <w:sz w:val="20"/>
                <w:szCs w:val="20"/>
                <w:color w:val="auto"/>
              </w:rPr>
            </w:pPr>
            <w:r>
              <w:rPr>
                <w:rFonts w:ascii="Times New Roman" w:cs="Times New Roman" w:eastAsia="Times New Roman" w:hAnsi="Times New Roman"/>
                <w:sz w:val="18"/>
                <w:szCs w:val="18"/>
                <w:color w:val="auto"/>
              </w:rPr>
              <w:t>99.1</w:t>
            </w:r>
          </w:p>
        </w:tc>
        <w:tc>
          <w:tcPr>
            <w:tcW w:w="540" w:type="dxa"/>
            <w:vAlign w:val="bottom"/>
          </w:tcPr>
          <w:p>
            <w:pPr>
              <w:spacing w:after="0"/>
              <w:rPr>
                <w:sz w:val="22"/>
                <w:szCs w:val="22"/>
                <w:color w:val="auto"/>
              </w:rPr>
            </w:pPr>
          </w:p>
        </w:tc>
        <w:tc>
          <w:tcPr>
            <w:tcW w:w="5780" w:type="dxa"/>
            <w:vAlign w:val="bottom"/>
            <w:gridSpan w:val="4"/>
          </w:tcPr>
          <w:p>
            <w:pPr>
              <w:spacing w:after="0"/>
              <w:rPr>
                <w:sz w:val="20"/>
                <w:szCs w:val="20"/>
                <w:color w:val="auto"/>
              </w:rPr>
            </w:pPr>
            <w:r>
              <w:rPr>
                <w:rFonts w:ascii="Times New Roman" w:cs="Times New Roman" w:eastAsia="Times New Roman" w:hAnsi="Times New Roman"/>
                <w:sz w:val="18"/>
                <w:szCs w:val="18"/>
                <w:color w:val="0000EE"/>
              </w:rPr>
              <w:t>Press Release, dated June 13, 2024, announcing the offering.</w:t>
            </w:r>
          </w:p>
        </w:tc>
      </w:tr>
      <w:tr>
        <w:trPr>
          <w:trHeight w:val="20"/>
        </w:trPr>
        <w:tc>
          <w:tcPr>
            <w:tcW w:w="500" w:type="dxa"/>
            <w:vAlign w:val="bottom"/>
          </w:tcPr>
          <w:p>
            <w:pPr>
              <w:spacing w:after="0" w:line="20" w:lineRule="exact"/>
              <w:rPr>
                <w:sz w:val="1"/>
                <w:szCs w:val="1"/>
                <w:color w:val="auto"/>
              </w:rPr>
            </w:pPr>
          </w:p>
        </w:tc>
        <w:tc>
          <w:tcPr>
            <w:tcW w:w="540" w:type="dxa"/>
            <w:vAlign w:val="bottom"/>
          </w:tcPr>
          <w:p>
            <w:pPr>
              <w:spacing w:after="0" w:line="20" w:lineRule="exact"/>
              <w:rPr>
                <w:sz w:val="1"/>
                <w:szCs w:val="1"/>
                <w:color w:val="auto"/>
              </w:rPr>
            </w:pPr>
          </w:p>
        </w:tc>
        <w:tc>
          <w:tcPr>
            <w:tcW w:w="4360" w:type="dxa"/>
            <w:vAlign w:val="bottom"/>
            <w:gridSpan w:val="2"/>
            <w:shd w:val="clear" w:color="auto" w:fill="0000EE"/>
          </w:tcPr>
          <w:p>
            <w:pPr>
              <w:spacing w:after="0" w:line="20" w:lineRule="exact"/>
              <w:rPr>
                <w:sz w:val="1"/>
                <w:szCs w:val="1"/>
                <w:color w:val="auto"/>
              </w:rPr>
            </w:pPr>
          </w:p>
        </w:tc>
        <w:tc>
          <w:tcPr>
            <w:tcW w:w="1020" w:type="dxa"/>
            <w:vAlign w:val="bottom"/>
          </w:tcPr>
          <w:p>
            <w:pPr>
              <w:spacing w:after="0" w:line="20" w:lineRule="exact"/>
              <w:rPr>
                <w:sz w:val="1"/>
                <w:szCs w:val="1"/>
                <w:color w:val="auto"/>
              </w:rPr>
            </w:pPr>
          </w:p>
        </w:tc>
        <w:tc>
          <w:tcPr>
            <w:tcW w:w="400" w:type="dxa"/>
            <w:vAlign w:val="bottom"/>
          </w:tcPr>
          <w:p>
            <w:pPr>
              <w:spacing w:after="0" w:line="20" w:lineRule="exact"/>
              <w:rPr>
                <w:sz w:val="1"/>
                <w:szCs w:val="1"/>
                <w:color w:val="auto"/>
              </w:rPr>
            </w:pPr>
          </w:p>
        </w:tc>
      </w:tr>
      <w:tr>
        <w:trPr>
          <w:trHeight w:val="304"/>
        </w:trPr>
        <w:tc>
          <w:tcPr>
            <w:tcW w:w="500" w:type="dxa"/>
            <w:vAlign w:val="bottom"/>
          </w:tcPr>
          <w:p>
            <w:pPr>
              <w:spacing w:after="0"/>
              <w:rPr>
                <w:sz w:val="20"/>
                <w:szCs w:val="20"/>
                <w:color w:val="auto"/>
              </w:rPr>
            </w:pPr>
            <w:r>
              <w:rPr>
                <w:rFonts w:ascii="Times New Roman" w:cs="Times New Roman" w:eastAsia="Times New Roman" w:hAnsi="Times New Roman"/>
                <w:sz w:val="18"/>
                <w:szCs w:val="18"/>
                <w:color w:val="auto"/>
              </w:rPr>
              <w:t>99.2</w:t>
            </w:r>
          </w:p>
        </w:tc>
        <w:tc>
          <w:tcPr>
            <w:tcW w:w="540" w:type="dxa"/>
            <w:vAlign w:val="bottom"/>
          </w:tcPr>
          <w:p>
            <w:pPr>
              <w:spacing w:after="0"/>
              <w:rPr>
                <w:sz w:val="24"/>
                <w:szCs w:val="24"/>
                <w:color w:val="auto"/>
              </w:rPr>
            </w:pPr>
          </w:p>
        </w:tc>
        <w:tc>
          <w:tcPr>
            <w:tcW w:w="5780" w:type="dxa"/>
            <w:vAlign w:val="bottom"/>
            <w:gridSpan w:val="4"/>
          </w:tcPr>
          <w:p>
            <w:pPr>
              <w:spacing w:after="0"/>
              <w:rPr>
                <w:sz w:val="20"/>
                <w:szCs w:val="20"/>
                <w:color w:val="auto"/>
              </w:rPr>
            </w:pPr>
            <w:r>
              <w:rPr>
                <w:rFonts w:ascii="Times New Roman" w:cs="Times New Roman" w:eastAsia="Times New Roman" w:hAnsi="Times New Roman"/>
                <w:sz w:val="18"/>
                <w:szCs w:val="18"/>
                <w:color w:val="0000EE"/>
              </w:rPr>
              <w:t>Press Release, dated June 14, 2024, announcing the pricing of the offering.</w:t>
            </w:r>
          </w:p>
        </w:tc>
      </w:tr>
      <w:tr>
        <w:trPr>
          <w:trHeight w:val="20"/>
        </w:trPr>
        <w:tc>
          <w:tcPr>
            <w:tcW w:w="500" w:type="dxa"/>
            <w:vAlign w:val="bottom"/>
          </w:tcPr>
          <w:p>
            <w:pPr>
              <w:spacing w:after="0" w:line="20" w:lineRule="exact"/>
              <w:rPr>
                <w:sz w:val="1"/>
                <w:szCs w:val="1"/>
                <w:color w:val="auto"/>
              </w:rPr>
            </w:pPr>
          </w:p>
        </w:tc>
        <w:tc>
          <w:tcPr>
            <w:tcW w:w="540" w:type="dxa"/>
            <w:vAlign w:val="bottom"/>
          </w:tcPr>
          <w:p>
            <w:pPr>
              <w:spacing w:after="0" w:line="20" w:lineRule="exact"/>
              <w:rPr>
                <w:sz w:val="1"/>
                <w:szCs w:val="1"/>
                <w:color w:val="auto"/>
              </w:rPr>
            </w:pPr>
          </w:p>
        </w:tc>
        <w:tc>
          <w:tcPr>
            <w:tcW w:w="5380" w:type="dxa"/>
            <w:vAlign w:val="bottom"/>
            <w:gridSpan w:val="3"/>
            <w:shd w:val="clear" w:color="auto" w:fill="0000EE"/>
          </w:tcPr>
          <w:p>
            <w:pPr>
              <w:spacing w:after="0" w:line="20" w:lineRule="exact"/>
              <w:rPr>
                <w:sz w:val="1"/>
                <w:szCs w:val="1"/>
                <w:color w:val="auto"/>
              </w:rPr>
            </w:pPr>
          </w:p>
        </w:tc>
        <w:tc>
          <w:tcPr>
            <w:tcW w:w="400" w:type="dxa"/>
            <w:vAlign w:val="bottom"/>
          </w:tcPr>
          <w:p>
            <w:pPr>
              <w:spacing w:after="0" w:line="20" w:lineRule="exact"/>
              <w:rPr>
                <w:sz w:val="1"/>
                <w:szCs w:val="1"/>
                <w:color w:val="auto"/>
              </w:rPr>
            </w:pPr>
          </w:p>
        </w:tc>
      </w:tr>
      <w:tr>
        <w:trPr>
          <w:trHeight w:val="345"/>
        </w:trPr>
        <w:tc>
          <w:tcPr>
            <w:tcW w:w="500" w:type="dxa"/>
            <w:vAlign w:val="bottom"/>
          </w:tcPr>
          <w:p>
            <w:pPr>
              <w:spacing w:after="0"/>
              <w:rPr>
                <w:sz w:val="20"/>
                <w:szCs w:val="20"/>
                <w:color w:val="auto"/>
              </w:rPr>
            </w:pPr>
            <w:r>
              <w:rPr>
                <w:rFonts w:ascii="Times New Roman" w:cs="Times New Roman" w:eastAsia="Times New Roman" w:hAnsi="Times New Roman"/>
                <w:sz w:val="18"/>
                <w:szCs w:val="18"/>
                <w:color w:val="auto"/>
              </w:rPr>
              <w:t>104</w:t>
            </w:r>
          </w:p>
        </w:tc>
        <w:tc>
          <w:tcPr>
            <w:tcW w:w="540" w:type="dxa"/>
            <w:vAlign w:val="bottom"/>
          </w:tcPr>
          <w:p>
            <w:pPr>
              <w:spacing w:after="0"/>
              <w:rPr>
                <w:sz w:val="24"/>
                <w:szCs w:val="24"/>
                <w:color w:val="auto"/>
              </w:rPr>
            </w:pPr>
          </w:p>
        </w:tc>
        <w:tc>
          <w:tcPr>
            <w:tcW w:w="5780" w:type="dxa"/>
            <w:vAlign w:val="bottom"/>
            <w:gridSpan w:val="4"/>
          </w:tcPr>
          <w:p>
            <w:pPr>
              <w:spacing w:after="0"/>
              <w:rPr>
                <w:sz w:val="20"/>
                <w:szCs w:val="20"/>
                <w:color w:val="auto"/>
              </w:rPr>
            </w:pPr>
            <w:r>
              <w:rPr>
                <w:rFonts w:ascii="Times New Roman" w:cs="Times New Roman" w:eastAsia="Times New Roman" w:hAnsi="Times New Roman"/>
                <w:sz w:val="18"/>
                <w:szCs w:val="18"/>
                <w:color w:val="auto"/>
                <w:w w:val="99"/>
              </w:rPr>
              <w:t>Cover Page Interactive Data File (embedded within the Inline XBRL document)</w:t>
            </w:r>
          </w:p>
        </w:tc>
      </w:tr>
    </w:tbl>
    <w:p>
      <w:pPr>
        <w:sectPr>
          <w:pgSz w:w="11900" w:h="16838" w:orient="portrait"/>
          <w:cols w:equalWidth="0" w:num="1">
            <w:col w:w="11004"/>
          </w:cols>
          <w:pgMar w:left="436" w:top="293" w:right="459" w:bottom="1440" w:gutter="0" w:footer="0" w:header="0"/>
        </w:sectPr>
      </w:pPr>
    </w:p>
    <w:bookmarkStart w:id="3" w:name="page4"/>
    <w:bookmarkEnd w:id="3"/>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880"/>
                    </a:xfrm>
                    <a:prstGeom prst="rect">
                      <a:avLst/>
                    </a:prstGeom>
                    <a:noFill/>
                  </pic:spPr>
                </pic:pic>
              </a:graphicData>
            </a:graphic>
          </wp:anchor>
        </w:drawing>
        <w:t>SIGNATURE</w:t>
      </w:r>
    </w:p>
    <w:p>
      <w:pPr>
        <w:spacing w:after="0" w:line="229" w:lineRule="exact"/>
        <w:rPr>
          <w:sz w:val="20"/>
          <w:szCs w:val="20"/>
          <w:color w:val="auto"/>
        </w:rPr>
      </w:pPr>
    </w:p>
    <w:p>
      <w:pPr>
        <w:ind w:right="300" w:firstLine="44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480" w:type="dxa"/>
            <w:vAlign w:val="bottom"/>
          </w:tcPr>
          <w:p>
            <w:pPr>
              <w:spacing w:after="0"/>
              <w:rPr>
                <w:sz w:val="20"/>
                <w:szCs w:val="20"/>
                <w:color w:val="auto"/>
              </w:rPr>
            </w:pPr>
            <w:r>
              <w:rPr>
                <w:rFonts w:ascii="Times New Roman" w:cs="Times New Roman" w:eastAsia="Times New Roman" w:hAnsi="Times New Roman"/>
                <w:sz w:val="18"/>
                <w:szCs w:val="18"/>
                <w:color w:val="auto"/>
              </w:rPr>
              <w:t>Date: June 14, 2024</w:t>
            </w:r>
          </w:p>
        </w:tc>
        <w:tc>
          <w:tcPr>
            <w:tcW w:w="7540" w:type="dxa"/>
            <w:vAlign w:val="bottom"/>
            <w:gridSpan w:val="2"/>
          </w:tcPr>
          <w:p>
            <w:pPr>
              <w:ind w:left="204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480" w:type="dxa"/>
            <w:vAlign w:val="bottom"/>
          </w:tcPr>
          <w:p>
            <w:pPr>
              <w:spacing w:after="0"/>
              <w:rPr>
                <w:sz w:val="20"/>
                <w:szCs w:val="20"/>
                <w:color w:val="auto"/>
              </w:rPr>
            </w:pPr>
          </w:p>
        </w:tc>
        <w:tc>
          <w:tcPr>
            <w:tcW w:w="7540" w:type="dxa"/>
            <w:vAlign w:val="bottom"/>
            <w:gridSpan w:val="2"/>
          </w:tcPr>
          <w:p>
            <w:pPr>
              <w:ind w:left="2040"/>
              <w:spacing w:after="0"/>
              <w:rPr>
                <w:sz w:val="20"/>
                <w:szCs w:val="20"/>
                <w:color w:val="auto"/>
              </w:rPr>
            </w:pPr>
            <w:r>
              <w:rPr>
                <w:rFonts w:ascii="Times New Roman" w:cs="Times New Roman" w:eastAsia="Times New Roman" w:hAnsi="Times New Roman"/>
                <w:sz w:val="18"/>
                <w:szCs w:val="18"/>
                <w:color w:val="auto"/>
              </w:rPr>
              <w:t>(Registrant)</w:t>
            </w:r>
          </w:p>
        </w:tc>
      </w:tr>
      <w:tr>
        <w:trPr>
          <w:trHeight w:val="445"/>
        </w:trPr>
        <w:tc>
          <w:tcPr>
            <w:tcW w:w="3480" w:type="dxa"/>
            <w:vAlign w:val="bottom"/>
          </w:tcPr>
          <w:p>
            <w:pPr>
              <w:spacing w:after="0"/>
              <w:rPr>
                <w:sz w:val="24"/>
                <w:szCs w:val="24"/>
                <w:color w:val="auto"/>
              </w:rPr>
            </w:pPr>
          </w:p>
        </w:tc>
        <w:tc>
          <w:tcPr>
            <w:tcW w:w="2680" w:type="dxa"/>
            <w:vAlign w:val="bottom"/>
          </w:tcPr>
          <w:p>
            <w:pPr>
              <w:ind w:left="204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480" w:type="dxa"/>
            <w:vAlign w:val="bottom"/>
          </w:tcPr>
          <w:p>
            <w:pPr>
              <w:spacing w:after="0"/>
              <w:rPr>
                <w:sz w:val="17"/>
                <w:szCs w:val="17"/>
                <w:color w:val="auto"/>
              </w:rPr>
            </w:pPr>
          </w:p>
        </w:tc>
        <w:tc>
          <w:tcPr>
            <w:tcW w:w="2680" w:type="dxa"/>
            <w:vAlign w:val="bottom"/>
          </w:tcPr>
          <w:p>
            <w:pPr>
              <w:ind w:left="204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480" w:type="dxa"/>
            <w:vAlign w:val="bottom"/>
          </w:tcPr>
          <w:p>
            <w:pPr>
              <w:spacing w:after="0"/>
              <w:rPr>
                <w:sz w:val="20"/>
                <w:szCs w:val="20"/>
                <w:color w:val="auto"/>
              </w:rPr>
            </w:pPr>
          </w:p>
        </w:tc>
        <w:tc>
          <w:tcPr>
            <w:tcW w:w="2680" w:type="dxa"/>
            <w:vAlign w:val="bottom"/>
          </w:tcPr>
          <w:p>
            <w:pPr>
              <w:ind w:left="204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ectPr>
          <w:pgSz w:w="11900" w:h="16838" w:orient="portrait"/>
          <w:cols w:equalWidth="0" w:num="1">
            <w:col w:w="11020"/>
          </w:cols>
          <w:pgMar w:left="440" w:top="293" w:right="439" w:bottom="1440" w:gutter="0" w:footer="0" w:header="0"/>
        </w:sectPr>
      </w:pPr>
    </w:p>
    <w:bookmarkStart w:id="4" w:name="page5"/>
    <w:bookmarkEnd w:id="4"/>
    <w:p>
      <w:pPr>
        <w:jc w:val="right"/>
        <w:spacing w:after="0"/>
        <w:rPr>
          <w:sz w:val="20"/>
          <w:szCs w:val="20"/>
          <w:color w:val="auto"/>
        </w:rPr>
      </w:pPr>
      <w:r>
        <w:rPr>
          <w:rFonts w:ascii="Times New Roman" w:cs="Times New Roman" w:eastAsia="Times New Roman" w:hAnsi="Times New Roman"/>
          <w:sz w:val="18"/>
          <w:szCs w:val="18"/>
          <w:b w:val="1"/>
          <w:bCs w:val="1"/>
          <w:color w:val="auto"/>
        </w:rPr>
        <w:t>Exhibit 99.1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Announces Proposed Private Offering of</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$500 Million of Convertible Senior Notes</w:t>
      </w:r>
    </w:p>
    <w:p>
      <w:pPr>
        <w:spacing w:after="0" w:line="207" w:lineRule="exact"/>
        <w:rPr>
          <w:sz w:val="20"/>
          <w:szCs w:val="20"/>
          <w:color w:val="auto"/>
        </w:rPr>
      </w:pPr>
    </w:p>
    <w:p>
      <w:pPr>
        <w:ind w:right="180"/>
        <w:spacing w:after="0" w:line="236" w:lineRule="auto"/>
        <w:rPr>
          <w:sz w:val="20"/>
          <w:szCs w:val="20"/>
          <w:color w:val="auto"/>
        </w:rPr>
      </w:pPr>
      <w:r>
        <w:rPr>
          <w:rFonts w:ascii="Times New Roman" w:cs="Times New Roman" w:eastAsia="Times New Roman" w:hAnsi="Times New Roman"/>
          <w:sz w:val="18"/>
          <w:szCs w:val="18"/>
          <w:color w:val="auto"/>
        </w:rPr>
        <w:t>TYSONS CORNER, Va., June 13, 2024 — MicroStrategy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Incorporated (Nasdaq: MSTR) (“MicroStrategy”) today announced that it intends to offer, subject to market conditions and other factors, $500 million aggregate principal amount of convertible senior notes due 2032 (the “notes”) in a private offering to persons reasonably believed to be qualified institutional buyers in reliance on Rule 144A under the Securities Act of 1933, as amended (the “Securities Act”). MicroStrategy also expects to grant to the initial purchasers of the notes an option to purchase, within a 13-day period beginning on, and including, the date on which the notes are first issued, up to an additional $75 million aggregate principal amount of the notes. The offering is subject to market and other conditions, and there can be no assurance as to whether, when or on what terms the offering may be completed.</w:t>
      </w:r>
    </w:p>
    <w:p>
      <w:pPr>
        <w:spacing w:after="0" w:line="200" w:lineRule="exact"/>
        <w:rPr>
          <w:sz w:val="20"/>
          <w:szCs w:val="20"/>
          <w:color w:val="auto"/>
        </w:rPr>
      </w:pPr>
    </w:p>
    <w:p>
      <w:pPr>
        <w:ind w:right="80"/>
        <w:spacing w:after="0" w:line="253" w:lineRule="auto"/>
        <w:rPr>
          <w:sz w:val="20"/>
          <w:szCs w:val="20"/>
          <w:color w:val="auto"/>
        </w:rPr>
      </w:pPr>
      <w:r>
        <w:rPr>
          <w:rFonts w:ascii="Times New Roman" w:cs="Times New Roman" w:eastAsia="Times New Roman" w:hAnsi="Times New Roman"/>
          <w:sz w:val="18"/>
          <w:szCs w:val="18"/>
          <w:color w:val="auto"/>
        </w:rPr>
        <w:t>The notes will be unsecured, senior obligations of MicroStrategy and will bear interest payable semi-annually in arrears on June 15 and December 15 of each year, beginning on December 15, 2024. The notes will mature on June 15, 2032, unless earlier repurchased, redeemed or converted in accordance with their terms. Subject to certain conditions, on or after June 20, 2029, MicroStrategy may redeem for cash all or any portion of the notes. If MicroStrategy redeems fewer than all the outstanding notes, at least $75 million aggregate principal amount of notes must be outstanding and not subject to redemption as of the relevant redemption notice date. Holders of the notes will have the right to require MicroStrategy to repurchase for cash all or any portion of their notes on June 15, 2029. The notes will be convertible into cash, shares of MicroStrategy’s class A common stock, or a combination of cash and shares of MicroStrategy’s class A common stock, at MicroStrategy’s election. Prior to December 15, 2031, the notes will be convertible only upon the occurrence of certain events and during certain periods, and thereafter, at any time until the second scheduled trading day immediately preceding the maturity date. The interest rate, initial conversion rate, and other terms of the notes will be determined at the time of pricing of the offering. MicroStrategy expects that the reference price used to calculate the initial conversion price for the notes will be the U.S. composite volume weighted average price of MicroStrategy’s class A common stock from 9:30 AM through 4:00 PM EDT on the date of pricing.</w:t>
      </w:r>
    </w:p>
    <w:p>
      <w:pPr>
        <w:spacing w:after="0" w:line="1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intends to use the net proceeds from the sale of the notes to acquire additional bitcoin and for general corporate purposes.</w:t>
      </w:r>
    </w:p>
    <w:p>
      <w:pPr>
        <w:spacing w:after="0" w:line="225" w:lineRule="exact"/>
        <w:rPr>
          <w:sz w:val="20"/>
          <w:szCs w:val="20"/>
          <w:color w:val="auto"/>
        </w:rPr>
      </w:pPr>
    </w:p>
    <w:p>
      <w:pPr>
        <w:ind w:right="40"/>
        <w:spacing w:after="0" w:line="258" w:lineRule="auto"/>
        <w:rPr>
          <w:sz w:val="20"/>
          <w:szCs w:val="20"/>
          <w:color w:val="auto"/>
        </w:rPr>
      </w:pPr>
      <w:r>
        <w:rPr>
          <w:rFonts w:ascii="Times New Roman" w:cs="Times New Roman" w:eastAsia="Times New Roman" w:hAnsi="Times New Roman"/>
          <w:sz w:val="18"/>
          <w:szCs w:val="18"/>
          <w:color w:val="auto"/>
        </w:rPr>
        <w:t>The notes will be offered and sold to persons reasonably believed to be qualified institutional buyers pursuant to Rule 144A under the Securities Act. The offer and sale of the notes and the shares of MicroStrategy’s class A common stock issuable upon conversion of the notes, if any, have not been and will not be registered under the Securities Act or the securities laws of any other jurisdiction, and the notes and any such shares may not be offered or sold in the United States absent registration or an applicable exemption from such registration requirements. Any offer of the notes will be made only by means of a private offering memorandum.</w:t>
      </w:r>
    </w:p>
    <w:p>
      <w:pPr>
        <w:spacing w:after="0" w:line="183" w:lineRule="exact"/>
        <w:rPr>
          <w:sz w:val="20"/>
          <w:szCs w:val="20"/>
          <w:color w:val="auto"/>
        </w:rPr>
      </w:pPr>
    </w:p>
    <w:p>
      <w:pPr>
        <w:ind w:right="100"/>
        <w:spacing w:after="0" w:line="282" w:lineRule="auto"/>
        <w:rPr>
          <w:sz w:val="20"/>
          <w:szCs w:val="20"/>
          <w:color w:val="auto"/>
        </w:rPr>
      </w:pPr>
      <w:r>
        <w:rPr>
          <w:rFonts w:ascii="Times New Roman" w:cs="Times New Roman" w:eastAsia="Times New Roman" w:hAnsi="Times New Roman"/>
          <w:sz w:val="18"/>
          <w:szCs w:val="18"/>
          <w:color w:val="auto"/>
        </w:rPr>
        <w:t>This press release shall not constitute an offer to sell, or a solicitation of an offer to buy the notes, nor shall there be any sale of, the notes in any state or jurisdiction in which such offer, solicitation or sale would be unlawful under the securities laws of any such state or jurisdiction.</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MicroStrategy Incorporated</w:t>
      </w:r>
    </w:p>
    <w:p>
      <w:pPr>
        <w:spacing w:after="0" w:line="121" w:lineRule="exact"/>
        <w:rPr>
          <w:sz w:val="20"/>
          <w:szCs w:val="20"/>
          <w:color w:val="auto"/>
        </w:rPr>
      </w:pPr>
    </w:p>
    <w:p>
      <w:pPr>
        <w:ind w:right="40"/>
        <w:spacing w:after="0" w:line="256" w:lineRule="auto"/>
        <w:rPr>
          <w:sz w:val="20"/>
          <w:szCs w:val="20"/>
          <w:color w:val="auto"/>
        </w:rPr>
      </w:pPr>
      <w:r>
        <w:rPr>
          <w:rFonts w:ascii="Times New Roman" w:cs="Times New Roman" w:eastAsia="Times New Roman" w:hAnsi="Times New Roman"/>
          <w:sz w:val="18"/>
          <w:szCs w:val="18"/>
          <w:color w:val="auto"/>
        </w:rPr>
        <w:t>MicroStrategy (Nasdaq: MSTR) considers itself the world’s first Bitcoin development company. We are a publicly-traded operating company committed to the continued development of the bitcoin network through our activities in the financial markets, advocacy and technology innovation. As an operating business, we are able to use cashflows as well as proceeds from equity and debt financings to accumulate bitcoin, which serves as our primary treasury reserve asset. We also develop and provide industry-leading AI-powered enterprise analytics software that promotes our vision of Intelligence Everywhere, and are using our software development capabilities to develop bitcoin applications. We believe that the combination of our operating structure, bitcoin strategy and focus on technology innovation provides a unique opportunity for value creation.</w:t>
      </w:r>
    </w:p>
    <w:p>
      <w:pPr>
        <w:sectPr>
          <w:pgSz w:w="11900" w:h="16838" w:orient="portrait"/>
          <w:cols w:equalWidth="0" w:num="1">
            <w:col w:w="11020"/>
          </w:cols>
          <w:pgMar w:left="440" w:top="117" w:right="439" w:bottom="1440" w:gutter="0" w:footer="0" w:header="0"/>
        </w:sectPr>
      </w:pPr>
    </w:p>
    <w:bookmarkStart w:id="5" w:name="page6"/>
    <w:bookmarkEnd w:id="5"/>
    <w:p>
      <w:pPr>
        <w:ind w:right="46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7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38735"/>
                    </a:xfrm>
                    <a:prstGeom prst="rect">
                      <a:avLst/>
                    </a:prstGeom>
                    <a:noFill/>
                  </pic:spPr>
                </pic:pic>
              </a:graphicData>
            </a:graphic>
          </wp:anchor>
        </w:drawing>
        <w:t>MicroStrategy and Intelligence Everywhere are either trademarks or registered trademarks of MicroStrategy Incorporated in the United States and certain other countries.</w:t>
      </w:r>
    </w:p>
    <w:p>
      <w:pPr>
        <w:spacing w:after="0" w:line="162"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press release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size and timing of the offering, the anticipated use of any proceeds from the offering, and the terms of the notes.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completion of the offering on the anticipated terms or at all, the other factors discussed in the “Risk Factors” section of MicroStrategy’s Quarterly Report on Form 10-Q filed with the Securities and Exchange Commission on May 1, 2024, and the risks described in other filings that MicroStrategy may make with the Securities and Exchange Commission. Any forward-looking statements contained in this press release speak only as of the date hereof, and MicroStrategy specifically disclaims any obligation to update any forward-looking statement, whether as a result of new information, future events, or otherwise.</w:t>
      </w:r>
    </w:p>
    <w:p>
      <w:pPr>
        <w:spacing w:after="0" w:line="19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Investor Relations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ir@microstrategy.com</w:t>
      </w:r>
    </w:p>
    <w:p>
      <w:pPr>
        <w:sectPr>
          <w:pgSz w:w="11900" w:h="16838" w:orient="portrait"/>
          <w:cols w:equalWidth="0" w:num="1">
            <w:col w:w="10980"/>
          </w:cols>
          <w:pgMar w:left="440" w:top="270" w:right="479" w:bottom="1440" w:gutter="0" w:footer="0" w:header="0"/>
        </w:sectPr>
      </w:pPr>
    </w:p>
    <w:bookmarkStart w:id="6" w:name="page7"/>
    <w:bookmarkEnd w:id="6"/>
    <w:p>
      <w:pPr>
        <w:ind w:left="10080"/>
        <w:spacing w:after="0"/>
        <w:rPr>
          <w:sz w:val="20"/>
          <w:szCs w:val="20"/>
          <w:color w:val="auto"/>
        </w:rPr>
      </w:pPr>
      <w:r>
        <w:rPr>
          <w:rFonts w:ascii="Times New Roman" w:cs="Times New Roman" w:eastAsia="Times New Roman" w:hAnsi="Times New Roman"/>
          <w:sz w:val="18"/>
          <w:szCs w:val="18"/>
          <w:b w:val="1"/>
          <w:bCs w:val="1"/>
          <w:color w:val="auto"/>
        </w:rPr>
        <w:t>Exhibit 99.2</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Announces Pricing of Offering of Convertible Senior Notes</w:t>
      </w:r>
    </w:p>
    <w:p>
      <w:pPr>
        <w:spacing w:after="0" w:line="229" w:lineRule="exact"/>
        <w:rPr>
          <w:sz w:val="20"/>
          <w:szCs w:val="20"/>
          <w:color w:val="auto"/>
        </w:rPr>
      </w:pPr>
    </w:p>
    <w:p>
      <w:pPr>
        <w:spacing w:after="0" w:line="238" w:lineRule="auto"/>
        <w:rPr>
          <w:sz w:val="20"/>
          <w:szCs w:val="20"/>
          <w:color w:val="auto"/>
        </w:rPr>
      </w:pPr>
      <w:r>
        <w:rPr>
          <w:rFonts w:ascii="Times New Roman" w:cs="Times New Roman" w:eastAsia="Times New Roman" w:hAnsi="Times New Roman"/>
          <w:sz w:val="18"/>
          <w:szCs w:val="18"/>
          <w:color w:val="auto"/>
        </w:rPr>
        <w:t>TYSONS CORNER, Va., June 14, 2024 — MicroStrategy</w:t>
      </w:r>
      <w:r>
        <w:rPr>
          <w:rFonts w:ascii="Times New Roman" w:cs="Times New Roman" w:eastAsia="Times New Roman" w:hAnsi="Times New Roman"/>
          <w:sz w:val="26"/>
          <w:szCs w:val="26"/>
          <w:color w:val="auto"/>
          <w:vertAlign w:val="superscript"/>
        </w:rPr>
        <w:t>®</w:t>
      </w:r>
      <w:r>
        <w:rPr>
          <w:rFonts w:ascii="Times New Roman" w:cs="Times New Roman" w:eastAsia="Times New Roman" w:hAnsi="Times New Roman"/>
          <w:sz w:val="18"/>
          <w:szCs w:val="18"/>
          <w:color w:val="auto"/>
        </w:rPr>
        <w:t xml:space="preserve"> Incorporated (Nasdaq: MSTR) (“MicroStrategy”) today announced the pricing of its offering of $700 million aggregate principal amount of 2.25% convertible senior notes due 2032 (the “notes”). The notes will be sold in a private offering to persons reasonably believed to be qualified institutional buyers in reliance on Rule 144A under the Securities Act of 1933, as amended (the “Securities Act”). MicroStrategy also granted to the initial purchasers of the notes an option to purchase, within a 13-day period beginning on, and including, the date on which the notes are first issued, up to an additional $100 million aggregate principal amount of the notes. The offering was upsized from the previously announced offering of $500 million aggregate principal amount of notes. The offering is expected to close on June 17, 2024, subject to satisfaction of customary closing conditions.</w:t>
      </w:r>
    </w:p>
    <w:p>
      <w:pPr>
        <w:spacing w:after="0" w:line="200" w:lineRule="exact"/>
        <w:rPr>
          <w:sz w:val="20"/>
          <w:szCs w:val="20"/>
          <w:color w:val="auto"/>
        </w:rPr>
      </w:pPr>
    </w:p>
    <w:p>
      <w:pPr>
        <w:ind w:right="20"/>
        <w:spacing w:after="0" w:line="254" w:lineRule="auto"/>
        <w:rPr>
          <w:sz w:val="20"/>
          <w:szCs w:val="20"/>
          <w:color w:val="auto"/>
        </w:rPr>
      </w:pPr>
      <w:r>
        <w:rPr>
          <w:rFonts w:ascii="Times New Roman" w:cs="Times New Roman" w:eastAsia="Times New Roman" w:hAnsi="Times New Roman"/>
          <w:sz w:val="18"/>
          <w:szCs w:val="18"/>
          <w:color w:val="auto"/>
        </w:rPr>
        <w:t>The notes will be unsecured, senior obligations of MicroStrategy, and will bear interest at a rate of 2.25% per annum, payable semi-annually in arrears on June 15 and December 15 of each year, beginning on December 15, 2024. The notes will mature on June 15, 2032, unless earlier repurchased, redeemed or converted in accordance with their terms. Subject to certain conditions, on or after June 20, 2029, MicroStrategy may redeem for cash all or any portion of the notes at a redemption price equal to 100% of the principal amount of the notes to be redeemed, plus accrued and unpaid interest, if any, to, but excluding, the redemption date, if the last reported sale price of MicroStrategy class A common stock has been at least 130% of the conversion price then in effect for a specified period of time ending on the trading day immediately before the date the notice of redemption is sent. If MicroStrategy redeems fewer than all the outstanding notes, at least $75 million aggregate principal amount of notes must be outstanding and not subject to redemption as of the relevant redemption notice date.</w:t>
      </w:r>
    </w:p>
    <w:p>
      <w:pPr>
        <w:spacing w:after="0" w:line="192" w:lineRule="exact"/>
        <w:rPr>
          <w:sz w:val="20"/>
          <w:szCs w:val="20"/>
          <w:color w:val="auto"/>
        </w:rPr>
      </w:pPr>
    </w:p>
    <w:p>
      <w:pPr>
        <w:ind w:right="80"/>
        <w:spacing w:after="0" w:line="258" w:lineRule="auto"/>
        <w:rPr>
          <w:sz w:val="20"/>
          <w:szCs w:val="20"/>
          <w:color w:val="auto"/>
        </w:rPr>
      </w:pPr>
      <w:r>
        <w:rPr>
          <w:rFonts w:ascii="Times New Roman" w:cs="Times New Roman" w:eastAsia="Times New Roman" w:hAnsi="Times New Roman"/>
          <w:sz w:val="18"/>
          <w:szCs w:val="18"/>
          <w:color w:val="auto"/>
        </w:rPr>
        <w:t>Holders of notes may require MicroStrategy to repurchase their notes on June 15, 2029 or upon the occurrence of certain events that constitute a fundamental change under the indenture governing the notes at a repurchase price equal to 100% of the principal amount of the notes to be repurchased, plus any accrued and unpaid interest to, but excluding, the date of repurchase. In connection with certain corporate events or if MicroStrategy calls any note for redemption, it will, under certain circumstances, be required to increase the conversion rate for holders who elect to convert their notes in connection with such corporate event or notice of redemption.</w:t>
      </w:r>
    </w:p>
    <w:p>
      <w:pPr>
        <w:spacing w:after="0" w:line="183" w:lineRule="exact"/>
        <w:rPr>
          <w:sz w:val="20"/>
          <w:szCs w:val="20"/>
          <w:color w:val="auto"/>
        </w:rPr>
      </w:pPr>
    </w:p>
    <w:p>
      <w:pPr>
        <w:jc w:val="both"/>
        <w:ind w:right="120"/>
        <w:spacing w:after="0" w:line="266" w:lineRule="auto"/>
        <w:rPr>
          <w:sz w:val="20"/>
          <w:szCs w:val="20"/>
          <w:color w:val="auto"/>
        </w:rPr>
      </w:pPr>
      <w:r>
        <w:rPr>
          <w:rFonts w:ascii="Times New Roman" w:cs="Times New Roman" w:eastAsia="Times New Roman" w:hAnsi="Times New Roman"/>
          <w:sz w:val="18"/>
          <w:szCs w:val="18"/>
          <w:color w:val="auto"/>
        </w:rPr>
        <w:t>The notes will be convertible into cash, shares of MicroStrategy’s class A common stock, or a combination of cash and shares of MicroStrategy’s class A common stock, at MicroStrategy’s election. Prior to December 15, 2031, the notes will be convertible only upon the occurrence of certain events and during certain periods, and thereafter, at any time until the second scheduled trading day immediately preceding the maturity date.</w:t>
      </w:r>
    </w:p>
    <w:p>
      <w:pPr>
        <w:spacing w:after="0" w:line="176" w:lineRule="exact"/>
        <w:rPr>
          <w:sz w:val="20"/>
          <w:szCs w:val="20"/>
          <w:color w:val="auto"/>
        </w:rPr>
      </w:pPr>
    </w:p>
    <w:p>
      <w:pPr>
        <w:ind w:right="20"/>
        <w:spacing w:after="0" w:line="258" w:lineRule="auto"/>
        <w:rPr>
          <w:sz w:val="20"/>
          <w:szCs w:val="20"/>
          <w:color w:val="auto"/>
        </w:rPr>
      </w:pPr>
      <w:r>
        <w:rPr>
          <w:rFonts w:ascii="Times New Roman" w:cs="Times New Roman" w:eastAsia="Times New Roman" w:hAnsi="Times New Roman"/>
          <w:sz w:val="18"/>
          <w:szCs w:val="18"/>
          <w:color w:val="auto"/>
        </w:rPr>
        <w:t>The conversion rate for the notes will initially be 0.4894 shares of MicroStrategy class A common stock per $1,000 principal amount of notes, which is equivalent to an initial conversion price of approximately $2,043.32 per share. The initial conversion price of the notes represents a premium of approximately 35% over the U.S. composite volume weighted average price of MicroStrategy’s class A common stock from 9:30 a.m. through 4:00 p.m. Eastern Daylight Time on Thursday, June 13, 2024, which was $1,513.46. The conversion rate will be subject to adjustment upon the occurrence of certain events.</w:t>
      </w:r>
    </w:p>
    <w:p>
      <w:pPr>
        <w:spacing w:after="0" w:line="183" w:lineRule="exact"/>
        <w:rPr>
          <w:sz w:val="20"/>
          <w:szCs w:val="20"/>
          <w:color w:val="auto"/>
        </w:rPr>
      </w:pPr>
    </w:p>
    <w:p>
      <w:pPr>
        <w:ind w:right="280"/>
        <w:spacing w:after="0" w:line="266" w:lineRule="auto"/>
        <w:rPr>
          <w:sz w:val="20"/>
          <w:szCs w:val="20"/>
          <w:color w:val="auto"/>
        </w:rPr>
      </w:pPr>
      <w:r>
        <w:rPr>
          <w:rFonts w:ascii="Times New Roman" w:cs="Times New Roman" w:eastAsia="Times New Roman" w:hAnsi="Times New Roman"/>
          <w:sz w:val="18"/>
          <w:szCs w:val="18"/>
          <w:color w:val="auto"/>
        </w:rPr>
        <w:t>MicroStrategy estimates that the net proceeds from the sale of the notes will be approximately $687.8 million (or approximately $786.0 million if the initial purchasers exercise in full their option to purchase additional notes), after deducting the initial purchasers’ discounts and commissions and estimated offering expenses payable by MicroStrategy.</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intends to use the net proceeds from the sale of the notes to acquire additional bitcoin and for general corporate purposes.</w:t>
      </w:r>
    </w:p>
    <w:p>
      <w:pPr>
        <w:spacing w:after="0" w:line="225" w:lineRule="exact"/>
        <w:rPr>
          <w:sz w:val="20"/>
          <w:szCs w:val="20"/>
          <w:color w:val="auto"/>
        </w:rPr>
      </w:pPr>
    </w:p>
    <w:p>
      <w:pPr>
        <w:ind w:right="80"/>
        <w:spacing w:after="0" w:line="258" w:lineRule="auto"/>
        <w:rPr>
          <w:sz w:val="20"/>
          <w:szCs w:val="20"/>
          <w:color w:val="auto"/>
        </w:rPr>
      </w:pPr>
      <w:r>
        <w:rPr>
          <w:rFonts w:ascii="Times New Roman" w:cs="Times New Roman" w:eastAsia="Times New Roman" w:hAnsi="Times New Roman"/>
          <w:sz w:val="18"/>
          <w:szCs w:val="18"/>
          <w:color w:val="auto"/>
        </w:rPr>
        <w:t>The notes are being offered and sold to persons reasonably believed to be qualified institutional buyers pursuant to Rule 144A under the Securities Act. The offer and sale of the notes and the shares of MicroStrategy’s class A common stock issuable upon conversion of the notes, if any, have not been and will not be registered under the Securities Act or the securities laws of any other jurisdiction, and the notes and any such shares may not be offered or sold in the United States absent registration or an applicable exemption from such registration requirements. The offering of the notes is being made only by means of a private offering memorandum.</w:t>
      </w:r>
    </w:p>
    <w:p>
      <w:pPr>
        <w:sectPr>
          <w:pgSz w:w="11900" w:h="16838" w:orient="portrait"/>
          <w:cols w:equalWidth="0" w:num="1">
            <w:col w:w="11020"/>
          </w:cols>
          <w:pgMar w:left="440" w:top="117" w:right="439" w:bottom="1440" w:gutter="0" w:footer="0" w:header="0"/>
        </w:sectPr>
      </w:pPr>
    </w:p>
    <w:bookmarkStart w:id="7" w:name="page8"/>
    <w:bookmarkEnd w:id="7"/>
    <w:p>
      <w:pPr>
        <w:ind w:right="60"/>
        <w:spacing w:after="0" w:line="282" w:lineRule="auto"/>
        <w:rPr>
          <w:sz w:val="20"/>
          <w:szCs w:val="20"/>
          <w:color w:val="auto"/>
        </w:rPr>
      </w:pPr>
      <w:r>
        <w:rPr>
          <w:rFonts w:ascii="Times New Roman" w:cs="Times New Roman" w:eastAsia="Times New Roman" w:hAnsi="Times New Roman"/>
          <w:sz w:val="18"/>
          <w:szCs w:val="18"/>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3810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7174865" cy="38100"/>
                    </a:xfrm>
                    <a:prstGeom prst="rect">
                      <a:avLst/>
                    </a:prstGeom>
                    <a:noFill/>
                  </pic:spPr>
                </pic:pic>
              </a:graphicData>
            </a:graphic>
          </wp:anchor>
        </w:drawing>
        <w:t>This press release shall not constitute an offer to sell, or a solicitation of an offer to buy the notes, nor shall there be any sale of, the notes in any state or jurisdiction in which such offer, solicitation or sale would be unlawful under the securities laws of any such state or jurisdiction.</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About MicroStrategy Incorporated</w:t>
      </w:r>
    </w:p>
    <w:p>
      <w:pPr>
        <w:spacing w:after="0" w:line="121" w:lineRule="exact"/>
        <w:rPr>
          <w:sz w:val="20"/>
          <w:szCs w:val="20"/>
          <w:color w:val="auto"/>
        </w:rPr>
      </w:pPr>
    </w:p>
    <w:p>
      <w:pPr>
        <w:spacing w:after="0" w:line="256" w:lineRule="auto"/>
        <w:rPr>
          <w:sz w:val="20"/>
          <w:szCs w:val="20"/>
          <w:color w:val="auto"/>
        </w:rPr>
      </w:pPr>
      <w:r>
        <w:rPr>
          <w:rFonts w:ascii="Times New Roman" w:cs="Times New Roman" w:eastAsia="Times New Roman" w:hAnsi="Times New Roman"/>
          <w:sz w:val="18"/>
          <w:szCs w:val="18"/>
          <w:color w:val="auto"/>
        </w:rPr>
        <w:t>MicroStrategy (Nasdaq: MSTR) considers itself the world’s first Bitcoin development company. We are a publicly-traded operating company committed to the continued development of the bitcoin network through our activities in the financial markets, advocacy and technology innovation. As an operating business, we are able to use cashflows as well as proceeds from equity and debt financings to accumulate bitcoin, which serves as our primary treasury reserve asset. We also develop and provide industry-leading AI-powered enterprise analytics software that promotes our vision of Intelligence Everywhere, and are using our software development capabilities to develop bitcoin applications. We believe that the combination of our operating structure, bitcoin strategy and focus on technology innovation provides a unique opportunity for value creation.</w:t>
      </w:r>
    </w:p>
    <w:p>
      <w:pPr>
        <w:spacing w:after="0" w:line="187" w:lineRule="exact"/>
        <w:rPr>
          <w:sz w:val="20"/>
          <w:szCs w:val="20"/>
          <w:color w:val="auto"/>
        </w:rPr>
      </w:pPr>
    </w:p>
    <w:p>
      <w:pPr>
        <w:ind w:right="460"/>
        <w:spacing w:after="0" w:line="282" w:lineRule="auto"/>
        <w:rPr>
          <w:sz w:val="20"/>
          <w:szCs w:val="20"/>
          <w:color w:val="auto"/>
        </w:rPr>
      </w:pPr>
      <w:r>
        <w:rPr>
          <w:rFonts w:ascii="Times New Roman" w:cs="Times New Roman" w:eastAsia="Times New Roman" w:hAnsi="Times New Roman"/>
          <w:sz w:val="18"/>
          <w:szCs w:val="18"/>
          <w:color w:val="auto"/>
        </w:rPr>
        <w:t>MicroStrategy and Intelligence Everywhere are either trademarks or registered trademarks of MicroStrategy Incorporated in the United States and certain other countries.</w:t>
      </w:r>
    </w:p>
    <w:p>
      <w:pPr>
        <w:spacing w:after="0" w:line="26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Statements</w:t>
      </w:r>
    </w:p>
    <w:p>
      <w:pPr>
        <w:spacing w:after="0" w:line="121"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press release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estimated net proceeds of the offering, the anticipated use of such net proceeds, and the anticipated closing date.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and the completion of the offering on the anticipated terms or at all, the uncertainties related to the satisfaction of closing conditions for the sale of the notes, the other factors discussed in the “Risk Factors” section of MicroStrategy’s Quarterly Report on Form 10-Q filed with the Securities and Exchange Commission on May 1, 2024, and the risks described in other filings that MicroStrategy may make with the Securities and Exchange Commission. Any forward-looking statements contained in this press release speak only as of the date hereof, and MicroStrategy specifically disclaims any obligation to update any forward-looking statement, whether as a result of new information, future events, or otherwise.</w:t>
      </w:r>
    </w:p>
    <w:p>
      <w:pPr>
        <w:spacing w:after="0" w:line="19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Shirish Jajodia</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Investor Relations</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ir@microstrategy.com</w:t>
      </w:r>
    </w:p>
    <w:sectPr>
      <w:pgSz w:w="11900" w:h="16838" w:orient="portrait"/>
      <w:cols w:equalWidth="0" w:num="1">
        <w:col w:w="10980"/>
      </w:cols>
      <w:pgMar w:left="440" w:top="270" w:right="47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643C9869"/>
    <w:multiLevelType w:val="hybridMultilevel"/>
    <w:lvl w:ilvl="0">
      <w:lvlJc w:val="left"/>
      <w:lvlText w:val="☐"/>
      <w:numFmt w:val="bullet"/>
      <w:start w:val="1"/>
    </w:lvl>
  </w:abstractNum>
  <w:abstractNum w:abstractNumId="1">
    <w:nsid w:val="66334873"/>
    <w:multiLevelType w:val="hybridMultilevel"/>
    <w:lvl w:ilvl="0">
      <w:lvlJc w:val="left"/>
      <w:lvlText w:val="(%1)"/>
      <w:numFmt w:val="lowerLetter"/>
      <w:start w:val="4"/>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2024-06-14T07:10:47Z</dcterms:created>
  <dcterms:modified xsi:type="dcterms:W3CDTF">2024-06-14T07:10:47Z</dcterms:modified>
</cp:coreProperties>
</file>